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Calibri" w:cs="Calibri" w:eastAsia="Calibri" w:hAnsi="Calibri"/>
          <w:b w:val="1"/>
          <w:color w:val="222222"/>
          <w:u w:val="single"/>
        </w:rPr>
      </w:pPr>
      <w:r w:rsidDel="00000000" w:rsidR="00000000" w:rsidRPr="00000000">
        <w:rPr>
          <w:rFonts w:ascii="Calibri" w:cs="Calibri" w:eastAsia="Calibri" w:hAnsi="Calibri"/>
          <w:b w:val="1"/>
          <w:color w:val="222222"/>
          <w:u w:val="single"/>
          <w:rtl w:val="0"/>
        </w:rPr>
        <w:t xml:space="preserve">COCA-I Gold Ribbon Standard:</w:t>
      </w:r>
    </w:p>
    <w:p w:rsidR="00000000" w:rsidDel="00000000" w:rsidP="00000000" w:rsidRDefault="00000000" w:rsidRPr="00000000" w14:paraId="00000002">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03">
      <w:pPr>
        <w:shd w:fill="ffffff" w:val="clea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5.4 Does the Camp have a policy regarding accepting children receiving end of life care, including DNR (Do Not Resuscitate) orders?</w:t>
      </w:r>
    </w:p>
    <w:p w:rsidR="00000000" w:rsidDel="00000000" w:rsidP="00000000" w:rsidRDefault="00000000" w:rsidRPr="00000000" w14:paraId="00000004">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05">
      <w:pPr>
        <w:shd w:fill="ffffff" w:val="clear"/>
        <w:rPr>
          <w:rFonts w:ascii="Calibri" w:cs="Calibri" w:eastAsia="Calibri" w:hAnsi="Calibri"/>
          <w:color w:val="222222"/>
        </w:rPr>
      </w:pPr>
      <w:r w:rsidDel="00000000" w:rsidR="00000000" w:rsidRPr="00000000">
        <w:rPr>
          <w:rFonts w:ascii="Calibri" w:cs="Calibri" w:eastAsia="Calibri" w:hAnsi="Calibri"/>
          <w:b w:val="1"/>
          <w:color w:val="222222"/>
          <w:u w:val="single"/>
          <w:rtl w:val="0"/>
        </w:rPr>
        <w:t xml:space="preserve">EXAMPLE # 1: (Camp Sunshine, GA)</w:t>
      </w:r>
      <w:r w:rsidDel="00000000" w:rsidR="00000000" w:rsidRPr="00000000">
        <w:rPr>
          <w:rtl w:val="0"/>
        </w:rPr>
      </w:r>
    </w:p>
    <w:p w:rsidR="00000000" w:rsidDel="00000000" w:rsidP="00000000" w:rsidRDefault="00000000" w:rsidRPr="00000000" w14:paraId="00000006">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DEFINITIONS:</w:t>
      </w:r>
    </w:p>
    <w:p w:rsidR="00000000" w:rsidDel="00000000" w:rsidP="00000000" w:rsidRDefault="00000000" w:rsidRPr="00000000" w14:paraId="00000007">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TERMINAL CONDITION: an incurable condition caused by disease, illness or injury which regardless of the application of life sustaining procedures would produce death.</w:t>
      </w:r>
    </w:p>
    <w:p w:rsidR="00000000" w:rsidDel="00000000" w:rsidP="00000000" w:rsidRDefault="00000000" w:rsidRPr="00000000" w14:paraId="00000008">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09">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LIFE SUSTAINING PROCEDURES: any medical procedure of intervention, which, when applied to a patient in a terminal condition would serve only to prolong the dying process and where in the opinion of the physician involved, death will occur without such procedures or interventions.</w:t>
      </w:r>
    </w:p>
    <w:p w:rsidR="00000000" w:rsidDel="00000000" w:rsidP="00000000" w:rsidRDefault="00000000" w:rsidRPr="00000000" w14:paraId="0000000A">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0B">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DO NOT RESUSCITATE ORDER: any order not to administer cardiopulmonary resuscitation when a patient is a candidate for non-resuscitation.</w:t>
      </w:r>
    </w:p>
    <w:p w:rsidR="00000000" w:rsidDel="00000000" w:rsidP="00000000" w:rsidRDefault="00000000" w:rsidRPr="00000000" w14:paraId="0000000C">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0D">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PROCEDURES:</w:t>
      </w:r>
    </w:p>
    <w:p w:rsidR="00000000" w:rsidDel="00000000" w:rsidP="00000000" w:rsidRDefault="00000000" w:rsidRPr="00000000" w14:paraId="0000000E">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1.</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222222"/>
          <w:rtl w:val="0"/>
        </w:rPr>
        <w:t xml:space="preserve">The camper’s attending physician should document on the medical portion of the camp application that the camper is under hospice care/has a DNR in place.  Hospice provider and phone number should be included.</w:t>
      </w:r>
    </w:p>
    <w:p w:rsidR="00000000" w:rsidDel="00000000" w:rsidP="00000000" w:rsidRDefault="00000000" w:rsidRPr="00000000" w14:paraId="0000000F">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2.</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222222"/>
          <w:rtl w:val="0"/>
        </w:rPr>
        <w:t xml:space="preserve">A copy of the DNR order should be obtained to become part of the camper’s permanent </w:t>
      </w:r>
      <w:r w:rsidDel="00000000" w:rsidR="00000000" w:rsidRPr="00000000">
        <w:rPr>
          <w:rFonts w:ascii="Calibri" w:cs="Calibri" w:eastAsia="Calibri" w:hAnsi="Calibri"/>
          <w:b w:val="1"/>
          <w:color w:val="222222"/>
          <w:rtl w:val="0"/>
        </w:rPr>
        <w:t xml:space="preserve">[Camp Name]</w:t>
      </w:r>
      <w:r w:rsidDel="00000000" w:rsidR="00000000" w:rsidRPr="00000000">
        <w:rPr>
          <w:rFonts w:ascii="Calibri" w:cs="Calibri" w:eastAsia="Calibri" w:hAnsi="Calibri"/>
          <w:color w:val="222222"/>
          <w:rtl w:val="0"/>
        </w:rPr>
        <w:t xml:space="preserve"> record.</w:t>
      </w:r>
    </w:p>
    <w:p w:rsidR="00000000" w:rsidDel="00000000" w:rsidP="00000000" w:rsidRDefault="00000000" w:rsidRPr="00000000" w14:paraId="00000010">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3.</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222222"/>
          <w:rtl w:val="0"/>
        </w:rPr>
        <w:t xml:space="preserve">If a copy of the DNR order is not on file with </w:t>
      </w:r>
      <w:r w:rsidDel="00000000" w:rsidR="00000000" w:rsidRPr="00000000">
        <w:rPr>
          <w:rFonts w:ascii="Calibri" w:cs="Calibri" w:eastAsia="Calibri" w:hAnsi="Calibri"/>
          <w:b w:val="1"/>
          <w:color w:val="222222"/>
          <w:rtl w:val="0"/>
        </w:rPr>
        <w:t xml:space="preserve">[Camp Name]</w:t>
      </w:r>
      <w:r w:rsidDel="00000000" w:rsidR="00000000" w:rsidRPr="00000000">
        <w:rPr>
          <w:rFonts w:ascii="Calibri" w:cs="Calibri" w:eastAsia="Calibri" w:hAnsi="Calibri"/>
          <w:color w:val="222222"/>
          <w:rtl w:val="0"/>
        </w:rPr>
        <w:t xml:space="preserve">, in the event of a respiratory or cardiac arrest, full code/life sustaining procedure will be initiated.</w:t>
      </w:r>
    </w:p>
    <w:p w:rsidR="00000000" w:rsidDel="00000000" w:rsidP="00000000" w:rsidRDefault="00000000" w:rsidRPr="00000000" w14:paraId="00000011">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4.</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222222"/>
          <w:rtl w:val="0"/>
        </w:rPr>
        <w:t xml:space="preserve">In the event of cardiac or respiratory arrest of a camper who is terminal and with a DNR in place and on file with </w:t>
      </w:r>
      <w:r w:rsidDel="00000000" w:rsidR="00000000" w:rsidRPr="00000000">
        <w:rPr>
          <w:rFonts w:ascii="Calibri" w:cs="Calibri" w:eastAsia="Calibri" w:hAnsi="Calibri"/>
          <w:b w:val="1"/>
          <w:color w:val="222222"/>
          <w:rtl w:val="0"/>
        </w:rPr>
        <w:t xml:space="preserve">[Camp Name]</w:t>
      </w:r>
      <w:r w:rsidDel="00000000" w:rsidR="00000000" w:rsidRPr="00000000">
        <w:rPr>
          <w:rFonts w:ascii="Calibri" w:cs="Calibri" w:eastAsia="Calibri" w:hAnsi="Calibri"/>
          <w:color w:val="222222"/>
          <w:rtl w:val="0"/>
        </w:rPr>
        <w:t xml:space="preserve">, the procedure for DEATH OF A CAMPER THAT IS A DNR will be followed.</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EXAMPLE # 2: (Camp Okizu, CA)</w:t>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u w:val="single"/>
          <w:rtl w:val="0"/>
        </w:rPr>
        <w:t xml:space="preserve">CAMPERS IN HOSPICE CARE: </w:t>
      </w:r>
      <w:r w:rsidDel="00000000" w:rsidR="00000000" w:rsidRPr="00000000">
        <w:rPr>
          <w:rFonts w:ascii="Calibri" w:cs="Calibri" w:eastAsia="Calibri" w:hAnsi="Calibri"/>
          <w:rtl w:val="0"/>
        </w:rPr>
        <w:t xml:space="preserve">Campers in hospice care will be accepted only after consultation between the treating oncology team and the Medical Director to ensure that adequate staffing and equipment are available, and consultation with the family about their wishes regarding emergency situations that might arise at camp. A copy of the DNR order will be kept at the Inn, and all Medical Staff will be made aware of the intervention guidelines from the family and the oncology care team.</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